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07E8B" w14:textId="5E1F882F" w:rsidR="00F077C9" w:rsidRPr="00F077C9" w:rsidRDefault="00F077C9" w:rsidP="00F077C9">
      <w:pPr>
        <w:pStyle w:val="Header"/>
        <w:tabs>
          <w:tab w:val="right" w:pos="9639"/>
        </w:tabs>
        <w:rPr>
          <w:noProof w:val="0"/>
          <w:sz w:val="24"/>
          <w:szCs w:val="24"/>
        </w:rPr>
      </w:pPr>
      <w:r w:rsidRPr="00F077C9">
        <w:rPr>
          <w:noProof w:val="0"/>
          <w:sz w:val="24"/>
          <w:szCs w:val="24"/>
        </w:rPr>
        <w:t>3GPP TSG RAN WG2#130</w:t>
      </w:r>
      <w:r w:rsidRPr="00F077C9">
        <w:rPr>
          <w:noProof w:val="0"/>
          <w:sz w:val="24"/>
          <w:szCs w:val="24"/>
        </w:rPr>
        <w:tab/>
      </w:r>
      <w:r w:rsidR="00CB52A2" w:rsidRPr="00CB52A2">
        <w:rPr>
          <w:noProof w:val="0"/>
          <w:sz w:val="24"/>
          <w:szCs w:val="24"/>
        </w:rPr>
        <w:t>R2-2504264</w:t>
      </w:r>
    </w:p>
    <w:p w14:paraId="3723E1D3" w14:textId="13B36E32" w:rsidR="005432D9" w:rsidRPr="00465587" w:rsidRDefault="00F077C9" w:rsidP="00F077C9">
      <w:pPr>
        <w:pStyle w:val="Header"/>
        <w:tabs>
          <w:tab w:val="right" w:pos="9639"/>
        </w:tabs>
        <w:rPr>
          <w:rFonts w:eastAsia="SimSun"/>
          <w:bCs/>
          <w:sz w:val="24"/>
          <w:szCs w:val="24"/>
          <w:lang w:eastAsia="zh-CN"/>
        </w:rPr>
      </w:pPr>
      <w:r w:rsidRPr="00F077C9">
        <w:rPr>
          <w:noProof w:val="0"/>
          <w:sz w:val="24"/>
          <w:szCs w:val="24"/>
        </w:rPr>
        <w:t>St Julian’s, Malta, 19th - 23rd May 2025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controllers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41D652C2" w14:textId="77777777" w:rsidR="005644D7" w:rsidRDefault="005644D7" w:rsidP="005644D7">
      <w:r>
        <w:t>In this contribution we focus on the following objective:</w:t>
      </w:r>
    </w:p>
    <w:p w14:paraId="5631AE72" w14:textId="77777777" w:rsidR="005644D7" w:rsidRDefault="005644D7" w:rsidP="005644D7">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4AFE40AD" w14:textId="77777777" w:rsidR="005644D7" w:rsidRDefault="005644D7" w:rsidP="005644D7">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409A5A48" w14:textId="77777777" w:rsidR="002B5C11" w:rsidRPr="005644D7"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012810D0" w14:textId="5B4F216A" w:rsidR="00711465" w:rsidRPr="009D6994" w:rsidRDefault="009D6994" w:rsidP="00810882">
      <w:r w:rsidRPr="009D6994">
        <w:t>RAN</w:t>
      </w:r>
      <w:r w:rsidR="0036032A">
        <w:t>2</w:t>
      </w:r>
      <w:r w:rsidRPr="009D6994">
        <w:t xml:space="preserve"> discussed</w:t>
      </w:r>
      <w:r>
        <w:t xml:space="preserve"> </w:t>
      </w:r>
      <w:r w:rsidR="00711465">
        <w:t xml:space="preserve">the following scenarios described in </w:t>
      </w:r>
      <w:r>
        <w:t>[</w:t>
      </w:r>
      <w:r w:rsidR="00E546F9">
        <w:t>2</w:t>
      </w:r>
      <w:r>
        <w:t>]</w:t>
      </w:r>
      <w:r w:rsidR="00711465">
        <w:t>:</w:t>
      </w:r>
    </w:p>
    <w:p w14:paraId="06B69924" w14:textId="2568EDF9" w:rsidR="00810882" w:rsidRDefault="00711465" w:rsidP="00956228">
      <w:pPr>
        <w:pStyle w:val="Normaltimes"/>
        <w:rPr>
          <w:rFonts w:ascii="Times New Roman" w:hAnsi="Times New Roman" w:cs="Times New Roman"/>
          <w:bCs/>
          <w:sz w:val="20"/>
          <w:szCs w:val="20"/>
          <w:lang w:val="en-GB"/>
        </w:rPr>
      </w:pPr>
      <w:r>
        <w:rPr>
          <w:noProof/>
        </w:rPr>
        <w:drawing>
          <wp:inline distT="0" distB="0" distL="0" distR="0" wp14:anchorId="457E42D9" wp14:editId="42CBE9CD">
            <wp:extent cx="5242796" cy="2635265"/>
            <wp:effectExtent l="0" t="0" r="0" b="0"/>
            <wp:docPr id="2" name="table" descr="A table with text on it&#10;&#10;Description automatically generated">
              <a:extLst xmlns:a="http://schemas.openxmlformats.org/drawingml/2006/main">
                <a:ext uri="{FF2B5EF4-FFF2-40B4-BE49-F238E27FC236}">
                  <a16:creationId xmlns:a16="http://schemas.microsoft.com/office/drawing/2014/main" id="{BBB53BB8-9A6B-9357-D6D4-603B704A5D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table with text on it&#10;&#10;Description automatically generated">
                      <a:extLst>
                        <a:ext uri="{FF2B5EF4-FFF2-40B4-BE49-F238E27FC236}">
                          <a16:creationId xmlns:a16="http://schemas.microsoft.com/office/drawing/2014/main" id="{BBB53BB8-9A6B-9357-D6D4-603B704A5DF0}"/>
                        </a:ext>
                      </a:extLst>
                    </pic:cNvPr>
                    <pic:cNvPicPr>
                      <a:picLocks noChangeAspect="1"/>
                    </pic:cNvPicPr>
                  </pic:nvPicPr>
                  <pic:blipFill>
                    <a:blip r:embed="rId13"/>
                    <a:stretch>
                      <a:fillRect/>
                    </a:stretch>
                  </pic:blipFill>
                  <pic:spPr>
                    <a:xfrm>
                      <a:off x="0" y="0"/>
                      <a:ext cx="5244536" cy="2636140"/>
                    </a:xfrm>
                    <a:prstGeom prst="rect">
                      <a:avLst/>
                    </a:prstGeom>
                  </pic:spPr>
                </pic:pic>
              </a:graphicData>
            </a:graphic>
          </wp:inline>
        </w:drawing>
      </w:r>
    </w:p>
    <w:p w14:paraId="0CEE14F0" w14:textId="3782CFAA" w:rsidR="0004184B" w:rsidRDefault="0036032A" w:rsidP="00BF7D4D">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RAN2 agreed the following:</w:t>
      </w:r>
    </w:p>
    <w:tbl>
      <w:tblPr>
        <w:tblStyle w:val="TableGrid"/>
        <w:tblW w:w="0" w:type="auto"/>
        <w:tblLook w:val="04A0" w:firstRow="1" w:lastRow="0" w:firstColumn="1" w:lastColumn="0" w:noHBand="0" w:noVBand="1"/>
      </w:tblPr>
      <w:tblGrid>
        <w:gridCol w:w="9631"/>
      </w:tblGrid>
      <w:tr w:rsidR="0036032A" w14:paraId="3CA132A5" w14:textId="77777777" w:rsidTr="0036032A">
        <w:tc>
          <w:tcPr>
            <w:tcW w:w="9631" w:type="dxa"/>
          </w:tcPr>
          <w:p w14:paraId="76A833DA" w14:textId="77777777" w:rsidR="0036032A" w:rsidRPr="0036032A" w:rsidRDefault="0036032A" w:rsidP="0036032A">
            <w:pPr>
              <w:tabs>
                <w:tab w:val="left" w:pos="1619"/>
              </w:tabs>
              <w:spacing w:before="60" w:after="0"/>
              <w:ind w:left="360" w:hanging="360"/>
              <w:rPr>
                <w:rFonts w:ascii="Arial" w:eastAsia="MS Mincho" w:hAnsi="Arial"/>
                <w:b/>
                <w:szCs w:val="24"/>
                <w:lang w:eastAsia="zh-CN"/>
              </w:rPr>
            </w:pPr>
            <w:r w:rsidRPr="0036032A">
              <w:rPr>
                <w:rFonts w:ascii="Arial" w:eastAsia="MS Mincho" w:hAnsi="Arial"/>
                <w:b/>
                <w:szCs w:val="24"/>
                <w:lang w:eastAsia="zh-CN"/>
              </w:rPr>
              <w:t xml:space="preserve">RAN2 understands that UE can report which band(s) </w:t>
            </w:r>
            <w:r w:rsidRPr="0036032A">
              <w:rPr>
                <w:rFonts w:ascii="Arial" w:eastAsia="SimSun" w:hAnsi="Arial" w:hint="eastAsia"/>
                <w:b/>
                <w:szCs w:val="24"/>
                <w:lang w:eastAsia="zh-CN"/>
              </w:rPr>
              <w:t>is</w:t>
            </w:r>
            <w:r w:rsidRPr="0036032A">
              <w:rPr>
                <w:rFonts w:ascii="Arial" w:eastAsia="MS Mincho" w:hAnsi="Arial" w:hint="eastAsia"/>
                <w:b/>
                <w:szCs w:val="24"/>
                <w:lang w:eastAsia="zh-CN"/>
              </w:rPr>
              <w:t xml:space="preserve"> </w:t>
            </w:r>
            <w:r w:rsidRPr="0036032A">
              <w:rPr>
                <w:rFonts w:ascii="Arial" w:eastAsia="MS Mincho" w:hAnsi="Arial"/>
                <w:b/>
                <w:szCs w:val="24"/>
                <w:lang w:eastAsia="zh-CN"/>
              </w:rPr>
              <w:t>support</w:t>
            </w:r>
            <w:r w:rsidRPr="0036032A">
              <w:rPr>
                <w:rFonts w:ascii="Arial" w:eastAsia="SimSun" w:hAnsi="Arial" w:hint="eastAsia"/>
                <w:b/>
                <w:szCs w:val="24"/>
                <w:lang w:eastAsia="zh-CN"/>
              </w:rPr>
              <w:t>ed</w:t>
            </w:r>
            <w:r w:rsidRPr="0036032A">
              <w:rPr>
                <w:rFonts w:ascii="Arial" w:eastAsia="MS Mincho" w:hAnsi="Arial"/>
                <w:b/>
                <w:szCs w:val="24"/>
                <w:lang w:eastAsia="zh-CN"/>
              </w:rPr>
              <w:t xml:space="preserve"> by LR to NW.</w:t>
            </w:r>
          </w:p>
          <w:p w14:paraId="5D951DB3" w14:textId="5E3E8127" w:rsidR="0036032A" w:rsidRDefault="0036032A" w:rsidP="0036032A">
            <w:pPr>
              <w:tabs>
                <w:tab w:val="left" w:pos="1619"/>
              </w:tabs>
              <w:spacing w:before="60" w:after="0"/>
              <w:ind w:left="360" w:hanging="360"/>
              <w:rPr>
                <w:bCs/>
              </w:rPr>
            </w:pPr>
            <w:r w:rsidRPr="0036032A">
              <w:rPr>
                <w:rFonts w:ascii="Arial" w:eastAsia="MS Mincho" w:hAnsi="Arial"/>
                <w:b/>
                <w:szCs w:val="24"/>
                <w:lang w:eastAsia="zh-CN"/>
              </w:rPr>
              <w:t>RAN2 understands that any potential overload issues could be addressed by current mechanism in spec</w:t>
            </w:r>
            <w:r w:rsidRPr="0036032A">
              <w:rPr>
                <w:rFonts w:ascii="Arial" w:eastAsia="MS Mincho" w:hAnsi="Arial" w:hint="eastAsia"/>
                <w:b/>
                <w:szCs w:val="24"/>
                <w:lang w:eastAsia="zh-CN"/>
              </w:rPr>
              <w:t>.</w:t>
            </w:r>
          </w:p>
        </w:tc>
      </w:tr>
    </w:tbl>
    <w:p w14:paraId="43847AC3" w14:textId="77777777" w:rsidR="0036032A" w:rsidRDefault="0036032A" w:rsidP="00BF7D4D">
      <w:pPr>
        <w:pStyle w:val="Normaltimes"/>
        <w:rPr>
          <w:rFonts w:ascii="Times New Roman" w:hAnsi="Times New Roman" w:cs="Times New Roman"/>
          <w:bCs/>
          <w:sz w:val="20"/>
          <w:szCs w:val="20"/>
          <w:lang w:val="en-GB"/>
        </w:rPr>
      </w:pPr>
    </w:p>
    <w:p w14:paraId="76C94ADF" w14:textId="38982A24" w:rsidR="00711465" w:rsidRDefault="00623863" w:rsidP="00711465">
      <w:r>
        <w:t>There is a common understanding that the UE may not support LP-WUS on all the bands the UE support. UE may be camping on the cell on the band where LP-WUS is not supported by the UE/NW, although cell supporting LP-WUS maybe available on the other band.  In this case LP-WUS UE power saving gains would be lost. Since it was agreed that</w:t>
      </w:r>
      <w:r w:rsidR="007965CD">
        <w:t xml:space="preserve"> any overload issues can </w:t>
      </w:r>
      <w:r w:rsidR="007965CD" w:rsidRPr="007965CD">
        <w:t xml:space="preserve">be addressed by current mechanism in spec </w:t>
      </w:r>
      <w:r w:rsidR="007965CD">
        <w:t>i</w:t>
      </w:r>
      <w:r w:rsidR="006257EE">
        <w:t xml:space="preserve">t would be beneficial </w:t>
      </w:r>
      <w:r w:rsidR="007965CD">
        <w:t xml:space="preserve">to allow the </w:t>
      </w:r>
      <w:r w:rsidR="00711465">
        <w:t xml:space="preserve">UE </w:t>
      </w:r>
      <w:r w:rsidR="007965CD">
        <w:t xml:space="preserve">to </w:t>
      </w:r>
      <w:r w:rsidR="00711465">
        <w:t>camp on the cell</w:t>
      </w:r>
      <w:r w:rsidR="007965CD">
        <w:t>s</w:t>
      </w:r>
      <w:r w:rsidR="00711465">
        <w:t xml:space="preserve"> supporting LP-WUS more often</w:t>
      </w:r>
      <w:r w:rsidR="00DB703F">
        <w:t xml:space="preserve"> to save battery</w:t>
      </w:r>
      <w:r w:rsidR="007965CD">
        <w:t>.</w:t>
      </w:r>
    </w:p>
    <w:p w14:paraId="2E700591" w14:textId="18197AC2" w:rsidR="006257EE" w:rsidRDefault="00711465" w:rsidP="00711465">
      <w:pPr>
        <w:rPr>
          <w:b/>
          <w:bCs/>
        </w:rPr>
      </w:pPr>
      <w:r w:rsidRPr="003E4847">
        <w:rPr>
          <w:b/>
          <w:bCs/>
        </w:rPr>
        <w:t xml:space="preserve">Proposal </w:t>
      </w:r>
      <w:r>
        <w:rPr>
          <w:b/>
          <w:bCs/>
        </w:rPr>
        <w:t>1</w:t>
      </w:r>
      <w:r w:rsidRPr="003E4847">
        <w:rPr>
          <w:b/>
          <w:bCs/>
        </w:rPr>
        <w:t xml:space="preserve">: </w:t>
      </w:r>
      <w:r w:rsidR="006257EE">
        <w:rPr>
          <w:b/>
          <w:bCs/>
        </w:rPr>
        <w:t>C</w:t>
      </w:r>
      <w:r w:rsidR="006257EE" w:rsidRPr="006257EE">
        <w:rPr>
          <w:b/>
          <w:bCs/>
        </w:rPr>
        <w:t xml:space="preserve">ell (re)selection </w:t>
      </w:r>
      <w:r w:rsidR="006257EE">
        <w:rPr>
          <w:b/>
          <w:bCs/>
        </w:rPr>
        <w:t xml:space="preserve">rules are </w:t>
      </w:r>
      <w:r w:rsidR="006257EE" w:rsidRPr="006257EE">
        <w:rPr>
          <w:b/>
          <w:bCs/>
        </w:rPr>
        <w:t xml:space="preserve">enhanced </w:t>
      </w:r>
      <w:r w:rsidR="006257EE">
        <w:rPr>
          <w:b/>
          <w:bCs/>
        </w:rPr>
        <w:t xml:space="preserve">so that </w:t>
      </w:r>
      <w:r w:rsidR="006257EE" w:rsidRPr="006257EE">
        <w:rPr>
          <w:b/>
          <w:bCs/>
        </w:rPr>
        <w:t>LP-WUS UE prioritize</w:t>
      </w:r>
      <w:r w:rsidR="00CB4802">
        <w:rPr>
          <w:b/>
          <w:bCs/>
        </w:rPr>
        <w:t>s</w:t>
      </w:r>
      <w:r w:rsidR="006257EE" w:rsidRPr="006257EE">
        <w:rPr>
          <w:b/>
          <w:bCs/>
        </w:rPr>
        <w:t xml:space="preserve"> band</w:t>
      </w:r>
      <w:r w:rsidR="006257EE">
        <w:rPr>
          <w:b/>
          <w:bCs/>
        </w:rPr>
        <w:t>s</w:t>
      </w:r>
      <w:r w:rsidR="006257EE" w:rsidRPr="006257EE">
        <w:rPr>
          <w:b/>
          <w:bCs/>
        </w:rPr>
        <w:t xml:space="preserve"> supporting LP-WUS</w:t>
      </w:r>
    </w:p>
    <w:p w14:paraId="68B780A1" w14:textId="77777777" w:rsidR="00D73979" w:rsidRDefault="00D73979" w:rsidP="00D73979">
      <w:pPr>
        <w:pStyle w:val="Normaltimes"/>
        <w:rPr>
          <w:rFonts w:ascii="Times New Roman" w:hAnsi="Times New Roman" w:cs="Times New Roman"/>
          <w:bCs/>
          <w:sz w:val="20"/>
          <w:szCs w:val="20"/>
          <w:lang w:val="en-GB"/>
        </w:rPr>
      </w:pPr>
    </w:p>
    <w:p w14:paraId="351DE5DD" w14:textId="00C41D9C" w:rsidR="003A1404" w:rsidRPr="003A1404" w:rsidRDefault="003A1404" w:rsidP="003A1404">
      <w:pPr>
        <w:pStyle w:val="Normaltimes"/>
        <w:rPr>
          <w:rFonts w:ascii="Times New Roman" w:hAnsi="Times New Roman" w:cs="Times New Roman"/>
          <w:bCs/>
          <w:sz w:val="20"/>
          <w:szCs w:val="20"/>
          <w:lang w:val="en-GB"/>
        </w:rPr>
      </w:pPr>
      <w:r w:rsidRPr="003A1404">
        <w:rPr>
          <w:rFonts w:ascii="Times New Roman" w:hAnsi="Times New Roman" w:cs="Times New Roman"/>
          <w:bCs/>
          <w:sz w:val="20"/>
          <w:szCs w:val="20"/>
          <w:lang w:val="en-GB"/>
        </w:rPr>
        <w:t>Additional aspect is that what would be the OFDM-based receiver behaviour when both SSB-based and LP-SS based thresholds (together with LP-SS itself) are configured</w:t>
      </w:r>
      <w:r w:rsidR="00294124">
        <w:rPr>
          <w:rFonts w:ascii="Times New Roman" w:hAnsi="Times New Roman" w:cs="Times New Roman"/>
          <w:bCs/>
          <w:sz w:val="20"/>
          <w:szCs w:val="20"/>
          <w:lang w:val="en-GB"/>
        </w:rPr>
        <w:t xml:space="preserve"> for LP-WUS monitoring</w:t>
      </w:r>
      <w:r w:rsidRPr="003A1404">
        <w:rPr>
          <w:rFonts w:ascii="Times New Roman" w:hAnsi="Times New Roman" w:cs="Times New Roman"/>
          <w:bCs/>
          <w:sz w:val="20"/>
          <w:szCs w:val="20"/>
          <w:lang w:val="en-GB"/>
        </w:rPr>
        <w:t xml:space="preserve">. In this case it would seem preferable that if UE is capable to do measurements based on the SSB (i.e. supports OFDM-based WUR), UE would apply the thresholds based on SSB. This would allow network to configure these thresholds in a manner that would reflect the expected receiver performance. </w:t>
      </w:r>
    </w:p>
    <w:p w14:paraId="0E832F32" w14:textId="10E8317D" w:rsidR="003A1404" w:rsidRPr="003A1404" w:rsidRDefault="003A1404" w:rsidP="003A1404">
      <w:pPr>
        <w:pStyle w:val="Normaltimes"/>
        <w:rPr>
          <w:rFonts w:ascii="Times New Roman" w:hAnsi="Times New Roman" w:cs="Times New Roman"/>
          <w:b/>
          <w:sz w:val="20"/>
          <w:szCs w:val="20"/>
          <w:lang w:val="en-GB"/>
        </w:rPr>
      </w:pPr>
      <w:r w:rsidRPr="003A140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w:t>
      </w:r>
      <w:r w:rsidRPr="003A1404">
        <w:rPr>
          <w:rFonts w:ascii="Times New Roman" w:hAnsi="Times New Roman" w:cs="Times New Roman"/>
          <w:b/>
          <w:sz w:val="20"/>
          <w:szCs w:val="20"/>
          <w:lang w:val="en-GB"/>
        </w:rPr>
        <w:t>: If both LP-SS based and SSB based thresholds are configured</w:t>
      </w:r>
      <w:r w:rsidR="00294124">
        <w:rPr>
          <w:rFonts w:ascii="Times New Roman" w:hAnsi="Times New Roman" w:cs="Times New Roman"/>
          <w:b/>
          <w:sz w:val="20"/>
          <w:szCs w:val="20"/>
          <w:lang w:val="en-GB"/>
        </w:rPr>
        <w:t xml:space="preserve"> for LP-WUS monitoring</w:t>
      </w:r>
      <w:r w:rsidRPr="003A1404">
        <w:rPr>
          <w:rFonts w:ascii="Times New Roman" w:hAnsi="Times New Roman" w:cs="Times New Roman"/>
          <w:b/>
          <w:sz w:val="20"/>
          <w:szCs w:val="20"/>
          <w:lang w:val="en-GB"/>
        </w:rPr>
        <w:t xml:space="preserve">, OFDM-based WUR </w:t>
      </w:r>
      <w:r w:rsidR="00294124">
        <w:rPr>
          <w:rFonts w:ascii="Times New Roman" w:hAnsi="Times New Roman" w:cs="Times New Roman"/>
          <w:b/>
          <w:sz w:val="20"/>
          <w:szCs w:val="20"/>
          <w:lang w:val="en-GB"/>
        </w:rPr>
        <w:t>applies</w:t>
      </w:r>
      <w:r w:rsidRPr="003A1404">
        <w:rPr>
          <w:rFonts w:ascii="Times New Roman" w:hAnsi="Times New Roman" w:cs="Times New Roman"/>
          <w:b/>
          <w:sz w:val="20"/>
          <w:szCs w:val="20"/>
          <w:lang w:val="en-GB"/>
        </w:rPr>
        <w:t xml:space="preserve"> the SSB-based threshold (and metric) for evaluation.</w:t>
      </w:r>
    </w:p>
    <w:p w14:paraId="63C73D0D" w14:textId="77777777" w:rsidR="00CB4802" w:rsidRDefault="00CB4802" w:rsidP="00D73979">
      <w:pPr>
        <w:pStyle w:val="Normaltimes"/>
        <w:rPr>
          <w:rFonts w:ascii="Times New Roman" w:hAnsi="Times New Roman" w:cs="Times New Roman"/>
          <w:bCs/>
          <w:sz w:val="20"/>
          <w:szCs w:val="20"/>
          <w:lang w:val="en-GB"/>
        </w:rPr>
      </w:pPr>
    </w:p>
    <w:p w14:paraId="7D97C8FD" w14:textId="296005B2" w:rsidR="00D73979" w:rsidRDefault="00D73979" w:rsidP="00D73979">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Small data transmission (SDT) was specified in R17 and R18. </w:t>
      </w:r>
      <w:r w:rsidRPr="00D73979">
        <w:rPr>
          <w:rFonts w:ascii="Times New Roman" w:hAnsi="Times New Roman" w:cs="Times New Roman"/>
          <w:bCs/>
          <w:sz w:val="20"/>
          <w:szCs w:val="20"/>
          <w:lang w:val="en-GB"/>
        </w:rPr>
        <w:t xml:space="preserve">SDT is a procedure allowing data and/or signalling transmission while remaining in RRC_INACTIVE state (i.e. without transitioning to RRC_CONNECTED state). </w:t>
      </w:r>
      <w:r>
        <w:rPr>
          <w:rFonts w:ascii="Times New Roman" w:hAnsi="Times New Roman" w:cs="Times New Roman"/>
          <w:bCs/>
          <w:sz w:val="20"/>
          <w:szCs w:val="20"/>
          <w:lang w:val="en-GB"/>
        </w:rPr>
        <w:t xml:space="preserve">SDT </w:t>
      </w:r>
      <w:r w:rsidRPr="00D73979">
        <w:rPr>
          <w:rFonts w:ascii="Times New Roman" w:hAnsi="Times New Roman" w:cs="Times New Roman"/>
          <w:bCs/>
          <w:sz w:val="20"/>
          <w:szCs w:val="20"/>
          <w:lang w:val="en-GB"/>
        </w:rPr>
        <w:t>can be initiated either by the UE in case of MO-SDT (Mobile Originated SDT) or by the network in case of MT-SDT (Mobile Terminated SDT).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w:t>
      </w:r>
      <w:r>
        <w:rPr>
          <w:rFonts w:ascii="Times New Roman" w:hAnsi="Times New Roman" w:cs="Times New Roman"/>
          <w:bCs/>
          <w:sz w:val="20"/>
          <w:szCs w:val="20"/>
          <w:lang w:val="en-GB"/>
        </w:rPr>
        <w:t xml:space="preserve"> SDT was specified also for power saving purposes like LP-WUS and therefore it can be assumed that it may be beneficial to implement both SDT and LP-WUS features in the same device. </w:t>
      </w:r>
    </w:p>
    <w:p w14:paraId="5176B1F5" w14:textId="77777777" w:rsidR="00F077C9" w:rsidRDefault="00F077C9" w:rsidP="00D73979">
      <w:pPr>
        <w:pStyle w:val="Normaltimes"/>
        <w:rPr>
          <w:rFonts w:ascii="Times New Roman" w:hAnsi="Times New Roman" w:cs="Times New Roman"/>
          <w:bCs/>
          <w:sz w:val="20"/>
          <w:szCs w:val="20"/>
          <w:lang w:val="en-GB"/>
        </w:rPr>
      </w:pPr>
    </w:p>
    <w:p w14:paraId="217D0CF8" w14:textId="61D0C07B"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sidR="00294124">
        <w:rPr>
          <w:rFonts w:ascii="Times New Roman" w:hAnsi="Times New Roman" w:cs="Times New Roman"/>
          <w:b/>
          <w:sz w:val="20"/>
          <w:szCs w:val="20"/>
          <w:lang w:val="en-GB"/>
        </w:rPr>
        <w:t>3</w:t>
      </w:r>
      <w:r w:rsidRPr="00D73979">
        <w:rPr>
          <w:rFonts w:ascii="Times New Roman" w:hAnsi="Times New Roman" w:cs="Times New Roman"/>
          <w:b/>
          <w:sz w:val="20"/>
          <w:szCs w:val="20"/>
          <w:lang w:val="en-GB"/>
        </w:rPr>
        <w:t xml:space="preserve">: LP-WUS UE </w:t>
      </w:r>
      <w:r>
        <w:rPr>
          <w:rFonts w:ascii="Times New Roman" w:hAnsi="Times New Roman" w:cs="Times New Roman"/>
          <w:b/>
          <w:sz w:val="20"/>
          <w:szCs w:val="20"/>
          <w:lang w:val="en-GB"/>
        </w:rPr>
        <w:t>may support MO-SDT and/or MT-SDT</w:t>
      </w:r>
    </w:p>
    <w:p w14:paraId="55BF2CA1" w14:textId="45870655"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sidR="00294124">
        <w:rPr>
          <w:rFonts w:ascii="Times New Roman" w:hAnsi="Times New Roman" w:cs="Times New Roman"/>
          <w:b/>
          <w:sz w:val="20"/>
          <w:szCs w:val="20"/>
          <w:lang w:val="en-GB"/>
        </w:rPr>
        <w:t>4</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can initiate MO-SDT while UE is monitoring LP-WUS</w:t>
      </w:r>
    </w:p>
    <w:p w14:paraId="73055FBF" w14:textId="020C82CB"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sidR="00294124">
        <w:rPr>
          <w:rFonts w:ascii="Times New Roman" w:hAnsi="Times New Roman" w:cs="Times New Roman"/>
          <w:b/>
          <w:sz w:val="20"/>
          <w:szCs w:val="20"/>
          <w:lang w:val="en-GB"/>
        </w:rPr>
        <w:t>5</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NW can initiate MT-SDT while UE is monitoring LP-WUS</w:t>
      </w:r>
    </w:p>
    <w:p w14:paraId="0611C6D4" w14:textId="77777777" w:rsidR="00D73979" w:rsidRDefault="00D73979" w:rsidP="00D73979">
      <w:pPr>
        <w:pStyle w:val="Normaltimes"/>
        <w:rPr>
          <w:rFonts w:ascii="Times New Roman" w:hAnsi="Times New Roman" w:cs="Times New Roman"/>
          <w:b/>
          <w:sz w:val="20"/>
          <w:szCs w:val="20"/>
          <w:lang w:val="en-GB"/>
        </w:rPr>
      </w:pPr>
    </w:p>
    <w:p w14:paraId="4EDAF7AE" w14:textId="085962AA" w:rsidR="00BE6FDA" w:rsidRDefault="00BE6FDA" w:rsidP="00BE6FDA">
      <w:r>
        <w:t xml:space="preserve">In scope of the IDLE/INACTIVE mode operation, the WID objective seeks to specify LP-WUS triggered paging monitoring. In strict sense this would seem to imply that LP-WUS triggering should result UE to monitor the associated PO. In Rel-18 different approaches were discussed how to determine the PO which UE should monitor, upon LP-WUS triggering: </w:t>
      </w:r>
    </w:p>
    <w:p w14:paraId="415CAD12" w14:textId="77777777" w:rsidR="00BE6FDA" w:rsidRDefault="00BE6FDA" w:rsidP="00BE6FDA">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1B6863BB" w14:textId="77777777" w:rsidR="00BE6FDA" w:rsidRDefault="00BE6FDA" w:rsidP="00BE6FDA">
      <w:pPr>
        <w:pStyle w:val="ListParagraph"/>
        <w:numPr>
          <w:ilvl w:val="0"/>
          <w:numId w:val="20"/>
        </w:numPr>
      </w:pPr>
      <w:r>
        <w:t xml:space="preserve">‘Closest PO’; where the LP-WUS trigger the UE to monitor PO that would be closest to the LP-WUS </w:t>
      </w:r>
    </w:p>
    <w:p w14:paraId="0EC6CEC2" w14:textId="77777777" w:rsidR="00BE6FDA" w:rsidRDefault="00BE6FDA" w:rsidP="00BE6FDA">
      <w:pPr>
        <w:pStyle w:val="ListParagraph"/>
        <w:numPr>
          <w:ilvl w:val="0"/>
          <w:numId w:val="20"/>
        </w:numPr>
      </w:pPr>
      <w:r>
        <w:t>‘Normal PO’; where LP-WUS would trigger the UE to monitor the same IDLE/Inactive mode PO that UE would monitor normally without LP-WUS</w:t>
      </w:r>
    </w:p>
    <w:p w14:paraId="7BF6A970" w14:textId="77777777" w:rsidR="00BE6FDA" w:rsidRPr="00DC7292" w:rsidRDefault="00BE6FDA" w:rsidP="00BE6FDA">
      <w:r>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40CF1A09" w14:textId="77777777" w:rsidR="00BE6FDA" w:rsidRDefault="00BE6FDA" w:rsidP="00BE6FDA">
      <w:pPr>
        <w:rPr>
          <w:b/>
          <w:bCs/>
        </w:rPr>
      </w:pPr>
    </w:p>
    <w:p w14:paraId="642697EB" w14:textId="35CF7543" w:rsidR="00BE6FDA" w:rsidRDefault="00BE6FDA" w:rsidP="00BE6FDA">
      <w:pPr>
        <w:rPr>
          <w:b/>
          <w:bCs/>
        </w:rPr>
      </w:pPr>
      <w:r w:rsidRPr="00AF38D5">
        <w:rPr>
          <w:b/>
          <w:bCs/>
        </w:rPr>
        <w:lastRenderedPageBreak/>
        <w:t>Proposal</w:t>
      </w:r>
      <w:r>
        <w:rPr>
          <w:b/>
          <w:bCs/>
        </w:rPr>
        <w:t xml:space="preserve"> </w:t>
      </w:r>
      <w:r w:rsidR="00294124">
        <w:rPr>
          <w:b/>
          <w:bCs/>
        </w:rPr>
        <w:t>6</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5373E5FB" w14:textId="77777777" w:rsidR="00F077C9" w:rsidRDefault="00F077C9" w:rsidP="00956228">
      <w:pPr>
        <w:pStyle w:val="Normaltimes"/>
        <w:rPr>
          <w:rFonts w:ascii="Times New Roman" w:hAnsi="Times New Roman" w:cs="Times New Roman"/>
          <w:bCs/>
          <w:sz w:val="20"/>
          <w:szCs w:val="20"/>
          <w:lang w:val="en-GB"/>
        </w:rPr>
      </w:pPr>
    </w:p>
    <w:p w14:paraId="4355A617" w14:textId="120B381A"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w:t>
      </w:r>
      <w:proofErr w:type="gramStart"/>
      <w:r w:rsidRPr="00956228">
        <w:rPr>
          <w:rFonts w:ascii="Times New Roman" w:hAnsi="Times New Roman" w:cs="Times New Roman"/>
          <w:bCs/>
          <w:sz w:val="20"/>
          <w:szCs w:val="20"/>
          <w:lang w:val="en-GB"/>
        </w:rPr>
        <w:t>RAN2</w:t>
      </w:r>
      <w:proofErr w:type="gramEnd"/>
      <w:r w:rsidRPr="00956228">
        <w:rPr>
          <w:rFonts w:ascii="Times New Roman" w:hAnsi="Times New Roman" w:cs="Times New Roman"/>
          <w:bCs/>
          <w:sz w:val="20"/>
          <w:szCs w:val="20"/>
          <w:lang w:val="en-GB"/>
        </w:rPr>
        <w:t xml:space="preserve">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368FD0B2"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r w:rsidR="00646828">
        <w:rPr>
          <w:rFonts w:ascii="Times New Roman" w:hAnsi="Times New Roman" w:cs="Times New Roman"/>
          <w:bCs/>
          <w:sz w:val="20"/>
          <w:szCs w:val="20"/>
          <w:lang w:val="en-GB"/>
        </w:rPr>
        <w:t xml:space="preserve">. </w:t>
      </w:r>
    </w:p>
    <w:p w14:paraId="0813F8F9" w14:textId="77777777" w:rsidR="00646828" w:rsidRDefault="00646828" w:rsidP="00956228">
      <w:pPr>
        <w:pStyle w:val="Normaltimes"/>
        <w:rPr>
          <w:rFonts w:ascii="Times New Roman" w:hAnsi="Times New Roman" w:cs="Times New Roman"/>
          <w:bCs/>
          <w:sz w:val="20"/>
          <w:szCs w:val="20"/>
          <w:lang w:val="en-GB"/>
        </w:rPr>
      </w:pPr>
    </w:p>
    <w:p w14:paraId="0659F416" w14:textId="0C0E0C54" w:rsidR="00646828"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The following baseline was agreed</w:t>
      </w:r>
      <w:r w:rsidR="00F937DD">
        <w:rPr>
          <w:rFonts w:ascii="Times New Roman" w:hAnsi="Times New Roman" w:cs="Times New Roman"/>
          <w:bCs/>
          <w:sz w:val="20"/>
          <w:szCs w:val="20"/>
          <w:lang w:val="en-GB"/>
        </w:rPr>
        <w:t xml:space="preserve"> in the</w:t>
      </w:r>
      <w:r>
        <w:rPr>
          <w:rFonts w:ascii="Times New Roman" w:hAnsi="Times New Roman" w:cs="Times New Roman"/>
          <w:bCs/>
          <w:sz w:val="20"/>
          <w:szCs w:val="20"/>
          <w:lang w:val="en-GB"/>
        </w:rPr>
        <w:t xml:space="preserve"> </w:t>
      </w:r>
      <w:r w:rsidR="00F937DD" w:rsidRPr="00F937DD">
        <w:rPr>
          <w:rFonts w:ascii="Times New Roman" w:hAnsi="Times New Roman" w:cs="Times New Roman"/>
          <w:bCs/>
          <w:sz w:val="20"/>
          <w:szCs w:val="20"/>
          <w:lang w:val="en-GB"/>
        </w:rPr>
        <w:t>RAN2#126 meeting</w:t>
      </w:r>
      <w:r>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646828" w14:paraId="6A7DB2E8" w14:textId="77777777" w:rsidTr="00646828">
        <w:tc>
          <w:tcPr>
            <w:tcW w:w="9631" w:type="dxa"/>
          </w:tcPr>
          <w:p w14:paraId="6767C1D1" w14:textId="77777777" w:rsidR="00646828" w:rsidRDefault="00646828" w:rsidP="00646828">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C54C105" w14:textId="22647233" w:rsidR="00646828" w:rsidRDefault="00646828" w:rsidP="00646828">
            <w:pPr>
              <w:pStyle w:val="Agreement"/>
              <w:numPr>
                <w:ilvl w:val="0"/>
                <w:numId w:val="22"/>
              </w:numPr>
              <w:rPr>
                <w:rFonts w:ascii="Times New Roman" w:hAnsi="Times New Roman"/>
                <w:bCs/>
                <w:szCs w:val="20"/>
              </w:rPr>
            </w:pPr>
            <w:r>
              <w:rPr>
                <w:lang w:eastAsia="zh-CN"/>
              </w:rPr>
              <w:t>Baseline for exit condition definition: If the serving cell measurement result based on LR is below a threshold (if configured), UE monitors PO as in legacy and it may stop monitoring the LP-WUS.</w:t>
            </w:r>
          </w:p>
        </w:tc>
      </w:tr>
    </w:tbl>
    <w:p w14:paraId="7B6AE792" w14:textId="77777777" w:rsidR="00646828" w:rsidRDefault="00646828" w:rsidP="00956228">
      <w:pPr>
        <w:pStyle w:val="Normaltimes"/>
        <w:rPr>
          <w:rFonts w:ascii="Times New Roman" w:hAnsi="Times New Roman" w:cs="Times New Roman"/>
          <w:bCs/>
          <w:sz w:val="20"/>
          <w:szCs w:val="20"/>
          <w:lang w:val="en-GB"/>
        </w:rPr>
      </w:pPr>
    </w:p>
    <w:p w14:paraId="5DE107FD" w14:textId="7AE8A0B7" w:rsidR="00300E0F"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Based on the above baseline the UE behaviour is not clear i.e. it is not clear when the UE monitors LP-WUS or legacy PO. Deterministic and testable UE behaviour should always be targeted and therefore we propose the following:</w:t>
      </w:r>
    </w:p>
    <w:p w14:paraId="2EDE2BDD" w14:textId="77777777" w:rsidR="00646828" w:rsidRDefault="00646828" w:rsidP="00956228">
      <w:pPr>
        <w:pStyle w:val="Normaltimes"/>
        <w:rPr>
          <w:rFonts w:ascii="Times New Roman" w:hAnsi="Times New Roman" w:cs="Times New Roman"/>
          <w:b/>
          <w:sz w:val="20"/>
          <w:szCs w:val="20"/>
          <w:lang w:val="en-GB"/>
        </w:rPr>
      </w:pPr>
    </w:p>
    <w:p w14:paraId="1AB44016" w14:textId="0B6993EE" w:rsidR="00646828" w:rsidRDefault="00646828" w:rsidP="006468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294124">
        <w:rPr>
          <w:rFonts w:ascii="Times New Roman" w:hAnsi="Times New Roman" w:cs="Times New Roman"/>
          <w:b/>
          <w:sz w:val="20"/>
          <w:szCs w:val="20"/>
          <w:lang w:val="en-GB"/>
        </w:rPr>
        <w:t>7</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194311DA" w14:textId="4057A1B4" w:rsidR="00B54BA4"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294124">
        <w:rPr>
          <w:rFonts w:ascii="Times New Roman" w:hAnsi="Times New Roman" w:cs="Times New Roman"/>
          <w:b/>
          <w:sz w:val="20"/>
          <w:szCs w:val="20"/>
          <w:lang w:val="en-GB"/>
        </w:rPr>
        <w:t>8</w:t>
      </w:r>
      <w:r w:rsidRPr="00463662">
        <w:rPr>
          <w:rFonts w:ascii="Times New Roman" w:hAnsi="Times New Roman" w:cs="Times New Roman"/>
          <w:b/>
          <w:sz w:val="20"/>
          <w:szCs w:val="20"/>
          <w:lang w:val="en-GB"/>
        </w:rPr>
        <w:t xml:space="preserve">: The UE </w:t>
      </w:r>
      <w:r w:rsidR="00B54BA4">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sidR="00E06A6C">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1DE6BA76" w14:textId="34425EDF" w:rsidR="00463662" w:rsidRPr="00463662" w:rsidRDefault="00B54BA4"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294124">
        <w:rPr>
          <w:rFonts w:ascii="Times New Roman" w:hAnsi="Times New Roman" w:cs="Times New Roman"/>
          <w:b/>
          <w:sz w:val="20"/>
          <w:szCs w:val="20"/>
          <w:lang w:val="en-GB"/>
        </w:rPr>
        <w:t>9</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00463662" w:rsidRPr="00463662">
        <w:rPr>
          <w:rFonts w:ascii="Times New Roman" w:hAnsi="Times New Roman" w:cs="Times New Roman"/>
          <w:b/>
          <w:sz w:val="20"/>
          <w:szCs w:val="20"/>
          <w:lang w:val="en-GB"/>
        </w:rPr>
        <w:t xml:space="preserve">stop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r w:rsidR="00646828">
        <w:rPr>
          <w:rFonts w:ascii="Times New Roman" w:hAnsi="Times New Roman" w:cs="Times New Roman"/>
          <w:b/>
          <w:sz w:val="20"/>
          <w:szCs w:val="20"/>
          <w:lang w:val="en-GB"/>
        </w:rPr>
        <w:t xml:space="preserve"> In this case the UE shall monitor legacy PO instead of LP-WUS. </w:t>
      </w:r>
    </w:p>
    <w:p w14:paraId="239B41AF" w14:textId="77777777" w:rsidR="00966081" w:rsidRDefault="00966081" w:rsidP="00956228">
      <w:pPr>
        <w:pStyle w:val="Normaltimes"/>
        <w:rPr>
          <w:rFonts w:ascii="Times New Roman" w:hAnsi="Times New Roman" w:cs="Times New Roman"/>
          <w:bCs/>
          <w:sz w:val="20"/>
          <w:szCs w:val="20"/>
          <w:lang w:val="en-GB"/>
        </w:rPr>
      </w:pPr>
    </w:p>
    <w:p w14:paraId="6EC2F22F" w14:textId="2F46C97E" w:rsidR="00562BBD" w:rsidRPr="00562BBD" w:rsidRDefault="00562BBD" w:rsidP="00562BBD">
      <w:pPr>
        <w:rPr>
          <w:b/>
          <w:bCs/>
        </w:rPr>
      </w:pPr>
    </w:p>
    <w:p w14:paraId="6B920D97" w14:textId="77777777" w:rsidR="00AF38D5" w:rsidRDefault="00AF38D5" w:rsidP="00AF38D5"/>
    <w:p w14:paraId="238BD79F" w14:textId="77777777" w:rsidR="00741CA0" w:rsidRDefault="00741CA0" w:rsidP="00AF38D5"/>
    <w:p w14:paraId="72F46F71" w14:textId="77777777" w:rsidR="00741CA0" w:rsidRDefault="00741CA0" w:rsidP="00AF38D5"/>
    <w:p w14:paraId="6D62FF66" w14:textId="77777777" w:rsidR="00741CA0" w:rsidRDefault="00741CA0" w:rsidP="00AF38D5"/>
    <w:p w14:paraId="5D7EBC58" w14:textId="77777777" w:rsidR="00741CA0" w:rsidRDefault="00741CA0" w:rsidP="00AF38D5"/>
    <w:p w14:paraId="124129F7" w14:textId="77777777" w:rsidR="00741CA0" w:rsidRPr="00AF38D5" w:rsidRDefault="00741CA0" w:rsidP="00AF38D5"/>
    <w:p w14:paraId="69B7B8E6" w14:textId="69E07FC9" w:rsidR="009339CB" w:rsidRPr="006E13D1" w:rsidRDefault="005A13AB" w:rsidP="009339CB">
      <w:pPr>
        <w:pStyle w:val="Heading1"/>
      </w:pPr>
      <w:r>
        <w:lastRenderedPageBreak/>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41B41145" w14:textId="77777777" w:rsidR="00CA762F" w:rsidRDefault="00CA762F" w:rsidP="009339CB">
      <w:pPr>
        <w:rPr>
          <w:bCs/>
        </w:rPr>
      </w:pPr>
    </w:p>
    <w:p w14:paraId="53BD23A3" w14:textId="77777777" w:rsidR="00CA762F" w:rsidRDefault="00CA762F" w:rsidP="00CA762F">
      <w:pPr>
        <w:rPr>
          <w:b/>
          <w:bCs/>
        </w:rPr>
      </w:pPr>
      <w:r w:rsidRPr="003E4847">
        <w:rPr>
          <w:b/>
          <w:bCs/>
        </w:rPr>
        <w:t xml:space="preserve">Proposal </w:t>
      </w:r>
      <w:r>
        <w:rPr>
          <w:b/>
          <w:bCs/>
        </w:rPr>
        <w:t>1</w:t>
      </w:r>
      <w:r w:rsidRPr="003E4847">
        <w:rPr>
          <w:b/>
          <w:bCs/>
        </w:rPr>
        <w:t xml:space="preserve">: </w:t>
      </w:r>
      <w:r>
        <w:rPr>
          <w:b/>
          <w:bCs/>
        </w:rPr>
        <w:t>C</w:t>
      </w:r>
      <w:r w:rsidRPr="006257EE">
        <w:rPr>
          <w:b/>
          <w:bCs/>
        </w:rPr>
        <w:t xml:space="preserve">ell (re)selection </w:t>
      </w:r>
      <w:r>
        <w:rPr>
          <w:b/>
          <w:bCs/>
        </w:rPr>
        <w:t xml:space="preserve">rules are </w:t>
      </w:r>
      <w:r w:rsidRPr="006257EE">
        <w:rPr>
          <w:b/>
          <w:bCs/>
        </w:rPr>
        <w:t xml:space="preserve">enhanced </w:t>
      </w:r>
      <w:r>
        <w:rPr>
          <w:b/>
          <w:bCs/>
        </w:rPr>
        <w:t xml:space="preserve">so that </w:t>
      </w:r>
      <w:r w:rsidRPr="006257EE">
        <w:rPr>
          <w:b/>
          <w:bCs/>
        </w:rPr>
        <w:t>LP-WUS UE prioritize</w:t>
      </w:r>
      <w:r>
        <w:rPr>
          <w:b/>
          <w:bCs/>
        </w:rPr>
        <w:t>s</w:t>
      </w:r>
      <w:r w:rsidRPr="006257EE">
        <w:rPr>
          <w:b/>
          <w:bCs/>
        </w:rPr>
        <w:t xml:space="preserve"> band</w:t>
      </w:r>
      <w:r>
        <w:rPr>
          <w:b/>
          <w:bCs/>
        </w:rPr>
        <w:t>s</w:t>
      </w:r>
      <w:r w:rsidRPr="006257EE">
        <w:rPr>
          <w:b/>
          <w:bCs/>
        </w:rPr>
        <w:t xml:space="preserve"> supporting LP-WUS</w:t>
      </w:r>
    </w:p>
    <w:p w14:paraId="6B4246A8" w14:textId="77777777" w:rsidR="00CA762F" w:rsidRPr="003A1404" w:rsidRDefault="00CA762F" w:rsidP="00CA762F">
      <w:pPr>
        <w:pStyle w:val="Normaltimes"/>
        <w:rPr>
          <w:rFonts w:ascii="Times New Roman" w:hAnsi="Times New Roman" w:cs="Times New Roman"/>
          <w:b/>
          <w:sz w:val="20"/>
          <w:szCs w:val="20"/>
          <w:lang w:val="en-GB"/>
        </w:rPr>
      </w:pPr>
      <w:r w:rsidRPr="003A140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w:t>
      </w:r>
      <w:r w:rsidRPr="003A1404">
        <w:rPr>
          <w:rFonts w:ascii="Times New Roman" w:hAnsi="Times New Roman" w:cs="Times New Roman"/>
          <w:b/>
          <w:sz w:val="20"/>
          <w:szCs w:val="20"/>
          <w:lang w:val="en-GB"/>
        </w:rPr>
        <w:t>: If both LP-SS based and SSB based thresholds are configured</w:t>
      </w:r>
      <w:r>
        <w:rPr>
          <w:rFonts w:ascii="Times New Roman" w:hAnsi="Times New Roman" w:cs="Times New Roman"/>
          <w:b/>
          <w:sz w:val="20"/>
          <w:szCs w:val="20"/>
          <w:lang w:val="en-GB"/>
        </w:rPr>
        <w:t xml:space="preserve"> for LP-WUS monitoring</w:t>
      </w:r>
      <w:r w:rsidRPr="003A1404">
        <w:rPr>
          <w:rFonts w:ascii="Times New Roman" w:hAnsi="Times New Roman" w:cs="Times New Roman"/>
          <w:b/>
          <w:sz w:val="20"/>
          <w:szCs w:val="20"/>
          <w:lang w:val="en-GB"/>
        </w:rPr>
        <w:t xml:space="preserve">, OFDM-based WUR </w:t>
      </w:r>
      <w:r>
        <w:rPr>
          <w:rFonts w:ascii="Times New Roman" w:hAnsi="Times New Roman" w:cs="Times New Roman"/>
          <w:b/>
          <w:sz w:val="20"/>
          <w:szCs w:val="20"/>
          <w:lang w:val="en-GB"/>
        </w:rPr>
        <w:t>applies</w:t>
      </w:r>
      <w:r w:rsidRPr="003A1404">
        <w:rPr>
          <w:rFonts w:ascii="Times New Roman" w:hAnsi="Times New Roman" w:cs="Times New Roman"/>
          <w:b/>
          <w:sz w:val="20"/>
          <w:szCs w:val="20"/>
          <w:lang w:val="en-GB"/>
        </w:rPr>
        <w:t xml:space="preserve"> the SSB-based threshold (and metric) for evaluation.</w:t>
      </w:r>
    </w:p>
    <w:p w14:paraId="6084F229" w14:textId="77777777" w:rsidR="00CA762F" w:rsidRDefault="00CA762F" w:rsidP="00CA762F">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D73979">
        <w:rPr>
          <w:rFonts w:ascii="Times New Roman" w:hAnsi="Times New Roman" w:cs="Times New Roman"/>
          <w:b/>
          <w:sz w:val="20"/>
          <w:szCs w:val="20"/>
          <w:lang w:val="en-GB"/>
        </w:rPr>
        <w:t xml:space="preserve">: LP-WUS UE </w:t>
      </w:r>
      <w:r>
        <w:rPr>
          <w:rFonts w:ascii="Times New Roman" w:hAnsi="Times New Roman" w:cs="Times New Roman"/>
          <w:b/>
          <w:sz w:val="20"/>
          <w:szCs w:val="20"/>
          <w:lang w:val="en-GB"/>
        </w:rPr>
        <w:t>may support MO-SDT and/or MT-SDT</w:t>
      </w:r>
    </w:p>
    <w:p w14:paraId="674AFBD7" w14:textId="77777777" w:rsidR="00CA762F" w:rsidRDefault="00CA762F" w:rsidP="00CA762F">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can initiate MO-SDT while UE is monitoring LP-WUS</w:t>
      </w:r>
    </w:p>
    <w:p w14:paraId="42AC44FE" w14:textId="77777777" w:rsidR="00CA762F" w:rsidRDefault="00CA762F" w:rsidP="00CA762F">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NW can initiate MT-SDT while UE is monitoring LP-WUS</w:t>
      </w:r>
    </w:p>
    <w:p w14:paraId="38E92593" w14:textId="77777777" w:rsidR="00CA762F" w:rsidRDefault="00CA762F" w:rsidP="00CA762F">
      <w:pPr>
        <w:rPr>
          <w:b/>
          <w:bCs/>
        </w:rPr>
      </w:pPr>
      <w:r w:rsidRPr="00AF38D5">
        <w:rPr>
          <w:b/>
          <w:bCs/>
        </w:rPr>
        <w:t>Proposal</w:t>
      </w:r>
      <w:r>
        <w:rPr>
          <w:b/>
          <w:bCs/>
        </w:rPr>
        <w:t xml:space="preserve"> 6</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6AA416DB" w14:textId="77777777" w:rsidR="00CA762F" w:rsidRDefault="00CA762F" w:rsidP="00CA762F">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7</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340DBDDB" w14:textId="77777777" w:rsidR="00CA762F" w:rsidRDefault="00CA762F" w:rsidP="00CA762F">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463662">
        <w:rPr>
          <w:rFonts w:ascii="Times New Roman" w:hAnsi="Times New Roman" w:cs="Times New Roman"/>
          <w:b/>
          <w:sz w:val="20"/>
          <w:szCs w:val="20"/>
          <w:lang w:val="en-GB"/>
        </w:rPr>
        <w:t xml:space="preserve">: The UE </w:t>
      </w:r>
      <w:r>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0E393C6D" w14:textId="77777777" w:rsidR="00CA762F" w:rsidRPr="00463662" w:rsidRDefault="00CA762F" w:rsidP="00CA762F">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9</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Pr="00463662">
        <w:rPr>
          <w:rFonts w:ascii="Times New Roman" w:hAnsi="Times New Roman" w:cs="Times New Roman"/>
          <w:b/>
          <w:sz w:val="20"/>
          <w:szCs w:val="20"/>
          <w:lang w:val="en-GB"/>
        </w:rPr>
        <w:t xml:space="preserve">stop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In this case the UE shall monitor legacy PO instead of LP-WUS. </w:t>
      </w:r>
    </w:p>
    <w:p w14:paraId="44CFC81C" w14:textId="77777777" w:rsidR="00CA762F" w:rsidRDefault="00CA762F" w:rsidP="00CA762F">
      <w:pPr>
        <w:pStyle w:val="Normaltimes"/>
        <w:rPr>
          <w:rFonts w:ascii="Times New Roman" w:hAnsi="Times New Roman" w:cs="Times New Roman"/>
          <w:bCs/>
          <w:sz w:val="20"/>
          <w:szCs w:val="20"/>
          <w:lang w:val="en-GB"/>
        </w:rPr>
      </w:pPr>
    </w:p>
    <w:p w14:paraId="2DA1051C" w14:textId="77777777" w:rsidR="00B832CC" w:rsidRPr="00562BBD" w:rsidRDefault="00B832CC" w:rsidP="00AA4A05">
      <w:pPr>
        <w:rPr>
          <w:b/>
          <w:bCs/>
        </w:rPr>
      </w:pPr>
    </w:p>
    <w:p w14:paraId="639648BD" w14:textId="2D85B9F9" w:rsidR="00B832CC" w:rsidRDefault="00B832CC" w:rsidP="00B832CC">
      <w:pPr>
        <w:pStyle w:val="Heading1"/>
      </w:pPr>
      <w:r>
        <w:t>4</w:t>
      </w:r>
      <w:r w:rsidRPr="006E13D1">
        <w:tab/>
      </w:r>
      <w:r>
        <w:t>References</w:t>
      </w:r>
    </w:p>
    <w:p w14:paraId="697A824F" w14:textId="77777777" w:rsidR="00B832CC" w:rsidRDefault="00B832CC" w:rsidP="00B832CC"/>
    <w:p w14:paraId="3D58CB65" w14:textId="5990444F" w:rsidR="00B832CC" w:rsidRDefault="00B832CC" w:rsidP="00B832CC">
      <w:r>
        <w:t xml:space="preserve">[1] </w:t>
      </w:r>
      <w:hyperlink r:id="rId14" w:history="1">
        <w:r w:rsidRPr="00B832CC">
          <w:rPr>
            <w:rStyle w:val="Hyperlink"/>
          </w:rPr>
          <w:t>RP-243266</w:t>
        </w:r>
      </w:hyperlink>
      <w:r>
        <w:t xml:space="preserve"> </w:t>
      </w:r>
      <w:r w:rsidRPr="00B832CC">
        <w:t>Way forward on Rel-19 LP-WUS separate band issues</w:t>
      </w:r>
      <w:r>
        <w:t xml:space="preserve"> </w:t>
      </w:r>
      <w:r w:rsidRPr="00B832CC">
        <w:t>RAN2 chair</w:t>
      </w:r>
      <w:r w:rsidR="009D6994">
        <w:t>, Interdigital</w:t>
      </w:r>
    </w:p>
    <w:p w14:paraId="1C4CF903" w14:textId="50B39050" w:rsidR="009D6994" w:rsidRDefault="009D6994" w:rsidP="00711465">
      <w:r>
        <w:t>[</w:t>
      </w:r>
      <w:r w:rsidR="00DB4972">
        <w:t>2</w:t>
      </w:r>
      <w:r>
        <w:t xml:space="preserve">] </w:t>
      </w:r>
      <w:hyperlink r:id="rId15" w:history="1">
        <w:r>
          <w:rPr>
            <w:rStyle w:val="Hyperlink"/>
          </w:rPr>
          <w:t>RP-242656</w:t>
        </w:r>
      </w:hyperlink>
      <w:r>
        <w:t xml:space="preserve"> </w:t>
      </w:r>
      <w:r w:rsidR="00711465" w:rsidRPr="00711465">
        <w:t>On LR and MR operating in different bands in release 19</w:t>
      </w:r>
      <w:r>
        <w:t xml:space="preserve">, </w:t>
      </w:r>
      <w:r w:rsidR="00711465">
        <w:t xml:space="preserve">Vodafone, Vivo, Huawei, </w:t>
      </w:r>
      <w:proofErr w:type="spellStart"/>
      <w:r w:rsidR="00711465">
        <w:t>HiSilicon</w:t>
      </w:r>
      <w:proofErr w:type="spellEnd"/>
    </w:p>
    <w:p w14:paraId="2D8D2EE6" w14:textId="77777777" w:rsidR="009D6994" w:rsidRDefault="009D6994" w:rsidP="00810882"/>
    <w:p w14:paraId="03A32890" w14:textId="77777777" w:rsidR="00810882" w:rsidRPr="00B832CC" w:rsidRDefault="00810882" w:rsidP="00B832CC">
      <w:pPr>
        <w:rPr>
          <w:lang w:val="en-US"/>
        </w:rPr>
      </w:pPr>
    </w:p>
    <w:p w14:paraId="10EA7723" w14:textId="77777777" w:rsidR="003A3ED4" w:rsidRPr="004F4540" w:rsidRDefault="003A3ED4" w:rsidP="009339CB">
      <w:pPr>
        <w:rPr>
          <w:bCs/>
        </w:rPr>
      </w:pPr>
    </w:p>
    <w:sectPr w:rsidR="003A3ED4" w:rsidRPr="004F454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3F0E93"/>
    <w:multiLevelType w:val="hybridMultilevel"/>
    <w:tmpl w:val="D682F512"/>
    <w:lvl w:ilvl="0" w:tplc="E77C4126">
      <w:start w:val="4"/>
      <w:numFmt w:val="bullet"/>
      <w:lvlText w:val="-"/>
      <w:lvlJc w:val="left"/>
      <w:pPr>
        <w:ind w:left="360" w:hanging="360"/>
      </w:pPr>
      <w:rPr>
        <w:rFonts w:ascii="Times New Roman" w:eastAsiaTheme="minorHAnsi"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E85902"/>
    <w:multiLevelType w:val="hybridMultilevel"/>
    <w:tmpl w:val="D430E37A"/>
    <w:lvl w:ilvl="0" w:tplc="0C4622C8">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1" w15:restartNumberingAfterBreak="0">
    <w:nsid w:val="62202E86"/>
    <w:multiLevelType w:val="hybridMultilevel"/>
    <w:tmpl w:val="2F16B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3"/>
  </w:num>
  <w:num w:numId="21" w16cid:durableId="1651474240">
    <w:abstractNumId w:val="22"/>
  </w:num>
  <w:num w:numId="22" w16cid:durableId="414790045">
    <w:abstractNumId w:val="22"/>
  </w:num>
  <w:num w:numId="23" w16cid:durableId="2036997676">
    <w:abstractNumId w:val="22"/>
  </w:num>
  <w:num w:numId="24" w16cid:durableId="295531069">
    <w:abstractNumId w:val="21"/>
  </w:num>
  <w:num w:numId="25" w16cid:durableId="283999415">
    <w:abstractNumId w:val="20"/>
    <w:lvlOverride w:ilvl="0">
      <w:startOverride w:val="1"/>
    </w:lvlOverride>
  </w:num>
  <w:num w:numId="26" w16cid:durableId="1642539050">
    <w:abstractNumId w:val="19"/>
  </w:num>
  <w:num w:numId="27" w16cid:durableId="780224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F63"/>
    <w:rsid w:val="00033397"/>
    <w:rsid w:val="00040095"/>
    <w:rsid w:val="0004184B"/>
    <w:rsid w:val="00045C4A"/>
    <w:rsid w:val="00065268"/>
    <w:rsid w:val="00073C9C"/>
    <w:rsid w:val="00076412"/>
    <w:rsid w:val="00080512"/>
    <w:rsid w:val="00090468"/>
    <w:rsid w:val="00093EAB"/>
    <w:rsid w:val="00094568"/>
    <w:rsid w:val="000B2868"/>
    <w:rsid w:val="000B2C70"/>
    <w:rsid w:val="000B7BCF"/>
    <w:rsid w:val="000C522B"/>
    <w:rsid w:val="000D1D37"/>
    <w:rsid w:val="000D58AB"/>
    <w:rsid w:val="00112F1A"/>
    <w:rsid w:val="0012610D"/>
    <w:rsid w:val="001264E2"/>
    <w:rsid w:val="001366F3"/>
    <w:rsid w:val="00140F5C"/>
    <w:rsid w:val="00143484"/>
    <w:rsid w:val="00145075"/>
    <w:rsid w:val="00145658"/>
    <w:rsid w:val="001466DB"/>
    <w:rsid w:val="0015437E"/>
    <w:rsid w:val="001741A0"/>
    <w:rsid w:val="00175FA0"/>
    <w:rsid w:val="0018542A"/>
    <w:rsid w:val="0019233E"/>
    <w:rsid w:val="00194CD0"/>
    <w:rsid w:val="001A1311"/>
    <w:rsid w:val="001B2E1E"/>
    <w:rsid w:val="001B49C9"/>
    <w:rsid w:val="001C135E"/>
    <w:rsid w:val="001C23F4"/>
    <w:rsid w:val="001C4F79"/>
    <w:rsid w:val="001F168B"/>
    <w:rsid w:val="001F5F73"/>
    <w:rsid w:val="001F7831"/>
    <w:rsid w:val="00204045"/>
    <w:rsid w:val="0020712B"/>
    <w:rsid w:val="0022606D"/>
    <w:rsid w:val="00231728"/>
    <w:rsid w:val="00244A05"/>
    <w:rsid w:val="00250404"/>
    <w:rsid w:val="00251841"/>
    <w:rsid w:val="00256B74"/>
    <w:rsid w:val="00257050"/>
    <w:rsid w:val="002610D8"/>
    <w:rsid w:val="002747EC"/>
    <w:rsid w:val="002855BF"/>
    <w:rsid w:val="00290A7C"/>
    <w:rsid w:val="00294124"/>
    <w:rsid w:val="002A1522"/>
    <w:rsid w:val="002B2988"/>
    <w:rsid w:val="002B5C11"/>
    <w:rsid w:val="002D05F4"/>
    <w:rsid w:val="002F0D22"/>
    <w:rsid w:val="00300E0F"/>
    <w:rsid w:val="00306819"/>
    <w:rsid w:val="00311B17"/>
    <w:rsid w:val="003172DC"/>
    <w:rsid w:val="00325AE3"/>
    <w:rsid w:val="00325F6D"/>
    <w:rsid w:val="00326069"/>
    <w:rsid w:val="003306F9"/>
    <w:rsid w:val="00331F7F"/>
    <w:rsid w:val="0035462D"/>
    <w:rsid w:val="0036032A"/>
    <w:rsid w:val="00360536"/>
    <w:rsid w:val="00362598"/>
    <w:rsid w:val="0036459E"/>
    <w:rsid w:val="00364B41"/>
    <w:rsid w:val="00383096"/>
    <w:rsid w:val="0039346C"/>
    <w:rsid w:val="00396AE2"/>
    <w:rsid w:val="003A1404"/>
    <w:rsid w:val="003A3ED4"/>
    <w:rsid w:val="003A41EF"/>
    <w:rsid w:val="003B0B67"/>
    <w:rsid w:val="003B40AD"/>
    <w:rsid w:val="003C4E37"/>
    <w:rsid w:val="003D0A75"/>
    <w:rsid w:val="003D0FD0"/>
    <w:rsid w:val="003D3E7E"/>
    <w:rsid w:val="003E16BE"/>
    <w:rsid w:val="003E4367"/>
    <w:rsid w:val="003E4847"/>
    <w:rsid w:val="003F4E28"/>
    <w:rsid w:val="003F76B6"/>
    <w:rsid w:val="004006E8"/>
    <w:rsid w:val="00401855"/>
    <w:rsid w:val="0044304E"/>
    <w:rsid w:val="00446C3A"/>
    <w:rsid w:val="00463662"/>
    <w:rsid w:val="00465587"/>
    <w:rsid w:val="00477455"/>
    <w:rsid w:val="00484E44"/>
    <w:rsid w:val="004863C7"/>
    <w:rsid w:val="004A1F7B"/>
    <w:rsid w:val="004B30DF"/>
    <w:rsid w:val="004C2E38"/>
    <w:rsid w:val="004C44D2"/>
    <w:rsid w:val="004D3578"/>
    <w:rsid w:val="004D380D"/>
    <w:rsid w:val="004E213A"/>
    <w:rsid w:val="004E7553"/>
    <w:rsid w:val="004F1A83"/>
    <w:rsid w:val="004F4540"/>
    <w:rsid w:val="004F73A7"/>
    <w:rsid w:val="00503171"/>
    <w:rsid w:val="00506C28"/>
    <w:rsid w:val="00534DA0"/>
    <w:rsid w:val="00537809"/>
    <w:rsid w:val="005432D9"/>
    <w:rsid w:val="00543E6C"/>
    <w:rsid w:val="00550A06"/>
    <w:rsid w:val="00561DFF"/>
    <w:rsid w:val="00562BBD"/>
    <w:rsid w:val="005644D7"/>
    <w:rsid w:val="00565087"/>
    <w:rsid w:val="0056573F"/>
    <w:rsid w:val="00571279"/>
    <w:rsid w:val="00575FC5"/>
    <w:rsid w:val="005A13AB"/>
    <w:rsid w:val="005A49C6"/>
    <w:rsid w:val="005C766E"/>
    <w:rsid w:val="005C7CD5"/>
    <w:rsid w:val="005D47EA"/>
    <w:rsid w:val="005F145C"/>
    <w:rsid w:val="00611566"/>
    <w:rsid w:val="00623863"/>
    <w:rsid w:val="006257EE"/>
    <w:rsid w:val="006268AA"/>
    <w:rsid w:val="0063553E"/>
    <w:rsid w:val="00640460"/>
    <w:rsid w:val="006438CB"/>
    <w:rsid w:val="00644DDA"/>
    <w:rsid w:val="00646828"/>
    <w:rsid w:val="00646D99"/>
    <w:rsid w:val="006476B6"/>
    <w:rsid w:val="00656910"/>
    <w:rsid w:val="006574C0"/>
    <w:rsid w:val="00666AEF"/>
    <w:rsid w:val="00696821"/>
    <w:rsid w:val="006A12A9"/>
    <w:rsid w:val="006A290F"/>
    <w:rsid w:val="006B2172"/>
    <w:rsid w:val="006C66D8"/>
    <w:rsid w:val="006D1E24"/>
    <w:rsid w:val="006D35DE"/>
    <w:rsid w:val="006E1057"/>
    <w:rsid w:val="006E1320"/>
    <w:rsid w:val="006E1417"/>
    <w:rsid w:val="006F3C19"/>
    <w:rsid w:val="006F6A2C"/>
    <w:rsid w:val="007069DC"/>
    <w:rsid w:val="007073DF"/>
    <w:rsid w:val="00710201"/>
    <w:rsid w:val="00711465"/>
    <w:rsid w:val="0072073A"/>
    <w:rsid w:val="00723B23"/>
    <w:rsid w:val="007342B5"/>
    <w:rsid w:val="00734A5B"/>
    <w:rsid w:val="00736362"/>
    <w:rsid w:val="00737BE3"/>
    <w:rsid w:val="00741CA0"/>
    <w:rsid w:val="00744E76"/>
    <w:rsid w:val="00747754"/>
    <w:rsid w:val="00757D40"/>
    <w:rsid w:val="007649B0"/>
    <w:rsid w:val="007662B5"/>
    <w:rsid w:val="00774E54"/>
    <w:rsid w:val="007800A4"/>
    <w:rsid w:val="00781F0F"/>
    <w:rsid w:val="0078727C"/>
    <w:rsid w:val="0079049D"/>
    <w:rsid w:val="00793DC5"/>
    <w:rsid w:val="007965CD"/>
    <w:rsid w:val="00796823"/>
    <w:rsid w:val="007A2E55"/>
    <w:rsid w:val="007B18D8"/>
    <w:rsid w:val="007C095F"/>
    <w:rsid w:val="007C2DD0"/>
    <w:rsid w:val="007E1BB9"/>
    <w:rsid w:val="007F2E08"/>
    <w:rsid w:val="008024FA"/>
    <w:rsid w:val="008028A4"/>
    <w:rsid w:val="00810882"/>
    <w:rsid w:val="00813245"/>
    <w:rsid w:val="008269BC"/>
    <w:rsid w:val="0082703D"/>
    <w:rsid w:val="00840DE0"/>
    <w:rsid w:val="00845ABF"/>
    <w:rsid w:val="00847CD0"/>
    <w:rsid w:val="008607A8"/>
    <w:rsid w:val="0086354A"/>
    <w:rsid w:val="00870BDD"/>
    <w:rsid w:val="008734C2"/>
    <w:rsid w:val="008768CA"/>
    <w:rsid w:val="00877EF9"/>
    <w:rsid w:val="00880559"/>
    <w:rsid w:val="0088720E"/>
    <w:rsid w:val="0089287E"/>
    <w:rsid w:val="008B3477"/>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131F"/>
    <w:rsid w:val="00942EC2"/>
    <w:rsid w:val="00952060"/>
    <w:rsid w:val="009548ED"/>
    <w:rsid w:val="00956228"/>
    <w:rsid w:val="00961B32"/>
    <w:rsid w:val="00962509"/>
    <w:rsid w:val="00966081"/>
    <w:rsid w:val="00970DB3"/>
    <w:rsid w:val="00971332"/>
    <w:rsid w:val="00974A31"/>
    <w:rsid w:val="00974BB0"/>
    <w:rsid w:val="00975BCD"/>
    <w:rsid w:val="009763D8"/>
    <w:rsid w:val="009818A2"/>
    <w:rsid w:val="009928A9"/>
    <w:rsid w:val="009947A4"/>
    <w:rsid w:val="009A0AF3"/>
    <w:rsid w:val="009B07CD"/>
    <w:rsid w:val="009B2EAC"/>
    <w:rsid w:val="009B6AAD"/>
    <w:rsid w:val="009C19E9"/>
    <w:rsid w:val="009D6994"/>
    <w:rsid w:val="009D74A6"/>
    <w:rsid w:val="009E0E87"/>
    <w:rsid w:val="00A0651E"/>
    <w:rsid w:val="00A1028A"/>
    <w:rsid w:val="00A10F02"/>
    <w:rsid w:val="00A17176"/>
    <w:rsid w:val="00A17CF5"/>
    <w:rsid w:val="00A204CA"/>
    <w:rsid w:val="00A209D6"/>
    <w:rsid w:val="00A22738"/>
    <w:rsid w:val="00A36F5F"/>
    <w:rsid w:val="00A430EC"/>
    <w:rsid w:val="00A47960"/>
    <w:rsid w:val="00A53724"/>
    <w:rsid w:val="00A54B2B"/>
    <w:rsid w:val="00A56EC0"/>
    <w:rsid w:val="00A61F65"/>
    <w:rsid w:val="00A6331A"/>
    <w:rsid w:val="00A703B6"/>
    <w:rsid w:val="00A82346"/>
    <w:rsid w:val="00A9671C"/>
    <w:rsid w:val="00AA1553"/>
    <w:rsid w:val="00AA322C"/>
    <w:rsid w:val="00AA4A05"/>
    <w:rsid w:val="00AD7E7C"/>
    <w:rsid w:val="00AE30B8"/>
    <w:rsid w:val="00AF073A"/>
    <w:rsid w:val="00AF09E1"/>
    <w:rsid w:val="00AF2492"/>
    <w:rsid w:val="00AF38D5"/>
    <w:rsid w:val="00B05380"/>
    <w:rsid w:val="00B05962"/>
    <w:rsid w:val="00B15449"/>
    <w:rsid w:val="00B16C2F"/>
    <w:rsid w:val="00B2567A"/>
    <w:rsid w:val="00B27303"/>
    <w:rsid w:val="00B47541"/>
    <w:rsid w:val="00B47FD1"/>
    <w:rsid w:val="00B516BB"/>
    <w:rsid w:val="00B543E9"/>
    <w:rsid w:val="00B54BA4"/>
    <w:rsid w:val="00B5751D"/>
    <w:rsid w:val="00B669E9"/>
    <w:rsid w:val="00B7538C"/>
    <w:rsid w:val="00B832CC"/>
    <w:rsid w:val="00B84DB2"/>
    <w:rsid w:val="00B8569E"/>
    <w:rsid w:val="00BA2578"/>
    <w:rsid w:val="00BB2C65"/>
    <w:rsid w:val="00BC3555"/>
    <w:rsid w:val="00BD058A"/>
    <w:rsid w:val="00BE3C5D"/>
    <w:rsid w:val="00BE6FDA"/>
    <w:rsid w:val="00BF66D7"/>
    <w:rsid w:val="00BF7D4D"/>
    <w:rsid w:val="00C12B51"/>
    <w:rsid w:val="00C24650"/>
    <w:rsid w:val="00C25465"/>
    <w:rsid w:val="00C31806"/>
    <w:rsid w:val="00C33079"/>
    <w:rsid w:val="00C412AE"/>
    <w:rsid w:val="00C55A12"/>
    <w:rsid w:val="00C653C0"/>
    <w:rsid w:val="00C6553E"/>
    <w:rsid w:val="00C67B54"/>
    <w:rsid w:val="00C83A13"/>
    <w:rsid w:val="00C86F10"/>
    <w:rsid w:val="00C9068C"/>
    <w:rsid w:val="00C91661"/>
    <w:rsid w:val="00C92967"/>
    <w:rsid w:val="00CA3D0C"/>
    <w:rsid w:val="00CA5883"/>
    <w:rsid w:val="00CA654B"/>
    <w:rsid w:val="00CA762F"/>
    <w:rsid w:val="00CB1ED0"/>
    <w:rsid w:val="00CB4802"/>
    <w:rsid w:val="00CB52A2"/>
    <w:rsid w:val="00CB72B8"/>
    <w:rsid w:val="00CC000F"/>
    <w:rsid w:val="00CC6B0B"/>
    <w:rsid w:val="00CD0BA8"/>
    <w:rsid w:val="00CD4C7B"/>
    <w:rsid w:val="00CD58FE"/>
    <w:rsid w:val="00CD7F65"/>
    <w:rsid w:val="00D33BE3"/>
    <w:rsid w:val="00D3792D"/>
    <w:rsid w:val="00D54820"/>
    <w:rsid w:val="00D54C87"/>
    <w:rsid w:val="00D55E47"/>
    <w:rsid w:val="00D62E19"/>
    <w:rsid w:val="00D66891"/>
    <w:rsid w:val="00D67CD1"/>
    <w:rsid w:val="00D738D6"/>
    <w:rsid w:val="00D73979"/>
    <w:rsid w:val="00D74DD6"/>
    <w:rsid w:val="00D77A1A"/>
    <w:rsid w:val="00D80795"/>
    <w:rsid w:val="00D8377A"/>
    <w:rsid w:val="00D854BE"/>
    <w:rsid w:val="00D87E00"/>
    <w:rsid w:val="00D9134D"/>
    <w:rsid w:val="00D96D11"/>
    <w:rsid w:val="00DA52CC"/>
    <w:rsid w:val="00DA7A03"/>
    <w:rsid w:val="00DB0DB8"/>
    <w:rsid w:val="00DB1818"/>
    <w:rsid w:val="00DB4972"/>
    <w:rsid w:val="00DB703F"/>
    <w:rsid w:val="00DC309B"/>
    <w:rsid w:val="00DC4DA2"/>
    <w:rsid w:val="00DC5261"/>
    <w:rsid w:val="00DC7292"/>
    <w:rsid w:val="00DD7191"/>
    <w:rsid w:val="00DE25D2"/>
    <w:rsid w:val="00DE2BCD"/>
    <w:rsid w:val="00DE7A34"/>
    <w:rsid w:val="00DF7C20"/>
    <w:rsid w:val="00E038FB"/>
    <w:rsid w:val="00E06A6C"/>
    <w:rsid w:val="00E15664"/>
    <w:rsid w:val="00E1799F"/>
    <w:rsid w:val="00E21ADF"/>
    <w:rsid w:val="00E46C08"/>
    <w:rsid w:val="00E471CF"/>
    <w:rsid w:val="00E546F9"/>
    <w:rsid w:val="00E54B0D"/>
    <w:rsid w:val="00E62835"/>
    <w:rsid w:val="00E6480E"/>
    <w:rsid w:val="00E64FE6"/>
    <w:rsid w:val="00E7038C"/>
    <w:rsid w:val="00E77645"/>
    <w:rsid w:val="00E83697"/>
    <w:rsid w:val="00E859B6"/>
    <w:rsid w:val="00EA66C9"/>
    <w:rsid w:val="00EB5D32"/>
    <w:rsid w:val="00EB6121"/>
    <w:rsid w:val="00EB7BC0"/>
    <w:rsid w:val="00EC4A25"/>
    <w:rsid w:val="00ED319B"/>
    <w:rsid w:val="00EE5A84"/>
    <w:rsid w:val="00EF612C"/>
    <w:rsid w:val="00F025A2"/>
    <w:rsid w:val="00F036E9"/>
    <w:rsid w:val="00F07388"/>
    <w:rsid w:val="00F077C9"/>
    <w:rsid w:val="00F2026E"/>
    <w:rsid w:val="00F211B9"/>
    <w:rsid w:val="00F2210A"/>
    <w:rsid w:val="00F31372"/>
    <w:rsid w:val="00F37743"/>
    <w:rsid w:val="00F40C2F"/>
    <w:rsid w:val="00F41592"/>
    <w:rsid w:val="00F42493"/>
    <w:rsid w:val="00F44218"/>
    <w:rsid w:val="00F54A3D"/>
    <w:rsid w:val="00F54CB0"/>
    <w:rsid w:val="00F579CD"/>
    <w:rsid w:val="00F653B8"/>
    <w:rsid w:val="00F71B89"/>
    <w:rsid w:val="00F71F76"/>
    <w:rsid w:val="00F7353C"/>
    <w:rsid w:val="00F76F8F"/>
    <w:rsid w:val="00F87048"/>
    <w:rsid w:val="00F87257"/>
    <w:rsid w:val="00F937DD"/>
    <w:rsid w:val="00F941DF"/>
    <w:rsid w:val="00FA1266"/>
    <w:rsid w:val="00FB36FA"/>
    <w:rsid w:val="00FC1192"/>
    <w:rsid w:val="00FC3E85"/>
    <w:rsid w:val="00FC7816"/>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 w:type="table" w:customStyle="1" w:styleId="TableGrid1">
    <w:name w:val="Table Grid1"/>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621">
      <w:bodyDiv w:val="1"/>
      <w:marLeft w:val="0"/>
      <w:marRight w:val="0"/>
      <w:marTop w:val="0"/>
      <w:marBottom w:val="0"/>
      <w:divBdr>
        <w:top w:val="none" w:sz="0" w:space="0" w:color="auto"/>
        <w:left w:val="none" w:sz="0" w:space="0" w:color="auto"/>
        <w:bottom w:val="none" w:sz="0" w:space="0" w:color="auto"/>
        <w:right w:val="none" w:sz="0" w:space="0" w:color="auto"/>
      </w:divBdr>
    </w:div>
    <w:div w:id="385375853">
      <w:bodyDiv w:val="1"/>
      <w:marLeft w:val="0"/>
      <w:marRight w:val="0"/>
      <w:marTop w:val="0"/>
      <w:marBottom w:val="0"/>
      <w:divBdr>
        <w:top w:val="none" w:sz="0" w:space="0" w:color="auto"/>
        <w:left w:val="none" w:sz="0" w:space="0" w:color="auto"/>
        <w:bottom w:val="none" w:sz="0" w:space="0" w:color="auto"/>
        <w:right w:val="none" w:sz="0" w:space="0" w:color="auto"/>
      </w:divBdr>
    </w:div>
    <w:div w:id="512767657">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635528168">
      <w:bodyDiv w:val="1"/>
      <w:marLeft w:val="0"/>
      <w:marRight w:val="0"/>
      <w:marTop w:val="0"/>
      <w:marBottom w:val="0"/>
      <w:divBdr>
        <w:top w:val="none" w:sz="0" w:space="0" w:color="auto"/>
        <w:left w:val="none" w:sz="0" w:space="0" w:color="auto"/>
        <w:bottom w:val="none" w:sz="0" w:space="0" w:color="auto"/>
        <w:right w:val="none" w:sz="0" w:space="0" w:color="auto"/>
      </w:divBdr>
    </w:div>
    <w:div w:id="7646897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792634">
      <w:bodyDiv w:val="1"/>
      <w:marLeft w:val="0"/>
      <w:marRight w:val="0"/>
      <w:marTop w:val="0"/>
      <w:marBottom w:val="0"/>
      <w:divBdr>
        <w:top w:val="none" w:sz="0" w:space="0" w:color="auto"/>
        <w:left w:val="none" w:sz="0" w:space="0" w:color="auto"/>
        <w:bottom w:val="none" w:sz="0" w:space="0" w:color="auto"/>
        <w:right w:val="none" w:sz="0" w:space="0" w:color="auto"/>
      </w:divBdr>
    </w:div>
    <w:div w:id="1070006493">
      <w:bodyDiv w:val="1"/>
      <w:marLeft w:val="0"/>
      <w:marRight w:val="0"/>
      <w:marTop w:val="0"/>
      <w:marBottom w:val="0"/>
      <w:divBdr>
        <w:top w:val="none" w:sz="0" w:space="0" w:color="auto"/>
        <w:left w:val="none" w:sz="0" w:space="0" w:color="auto"/>
        <w:bottom w:val="none" w:sz="0" w:space="0" w:color="auto"/>
        <w:right w:val="none" w:sz="0" w:space="0" w:color="auto"/>
      </w:divBdr>
    </w:div>
    <w:div w:id="10913933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2601480">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553811865">
      <w:bodyDiv w:val="1"/>
      <w:marLeft w:val="0"/>
      <w:marRight w:val="0"/>
      <w:marTop w:val="0"/>
      <w:marBottom w:val="0"/>
      <w:divBdr>
        <w:top w:val="none" w:sz="0" w:space="0" w:color="auto"/>
        <w:left w:val="none" w:sz="0" w:space="0" w:color="auto"/>
        <w:bottom w:val="none" w:sz="0" w:space="0" w:color="auto"/>
        <w:right w:val="none" w:sz="0" w:space="0" w:color="auto"/>
      </w:divBdr>
    </w:div>
    <w:div w:id="1807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6/Docs/RP-24265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6/Docs/RP-24326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RBI5PAMIO524-1616901215-40422</_dlc_DocId>
    <_dlc_DocIdUrl xmlns="71c5aaf6-e6ce-465b-b873-5148d2a4c105">
      <Url>https://nokia.sharepoint.com/sites/gxp/_layouts/15/DocIdRedir.aspx?ID=RBI5PAMIO524-1616901215-40422</Url>
      <Description>RBI5PAMIO524-1616901215-40422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http://www.w3.org/XML/1998/namespace"/>
    <ds:schemaRef ds:uri="7275bb01-7583-478d-bc14-e839a2dd5989"/>
    <ds:schemaRef ds:uri="http://purl.org/dc/dcmitype/"/>
    <ds:schemaRef ds:uri="http://purl.org/dc/te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BEF749B-0D06-4BBA-8501-FFC0FE85E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115</TotalTime>
  <Pages>4</Pages>
  <Words>1365</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22</cp:revision>
  <dcterms:created xsi:type="dcterms:W3CDTF">2025-02-06T22:16:00Z</dcterms:created>
  <dcterms:modified xsi:type="dcterms:W3CDTF">2025-05-09T07:04:00Z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cb6ec8a3-f083-48b7-a109-6e07bf8e8b14</vt:lpwstr>
  </property>
</Properties>
</file>